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AF" w:rsidRDefault="00473BAF" w:rsidP="00473BAF">
      <w:pPr>
        <w:pStyle w:val="30"/>
        <w:shd w:val="clear" w:color="auto" w:fill="auto"/>
        <w:spacing w:after="252"/>
        <w:ind w:left="20"/>
      </w:pPr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036958E7" wp14:editId="7B8437B5">
            <wp:simplePos x="0" y="0"/>
            <wp:positionH relativeFrom="margin">
              <wp:posOffset>81915</wp:posOffset>
            </wp:positionH>
            <wp:positionV relativeFrom="paragraph">
              <wp:posOffset>518160</wp:posOffset>
            </wp:positionV>
            <wp:extent cx="841375" cy="469265"/>
            <wp:effectExtent l="0" t="0" r="0" b="6985"/>
            <wp:wrapSquare wrapText="bothSides"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16025" simplePos="0" relativeHeight="251659264" behindDoc="1" locked="0" layoutInCell="1" allowOverlap="1" wp14:anchorId="4BE4EEFB" wp14:editId="28B0E921">
                <wp:simplePos x="0" y="0"/>
                <wp:positionH relativeFrom="margin">
                  <wp:posOffset>-6350</wp:posOffset>
                </wp:positionH>
                <wp:positionV relativeFrom="paragraph">
                  <wp:posOffset>-386715</wp:posOffset>
                </wp:positionV>
                <wp:extent cx="1216025" cy="152400"/>
                <wp:effectExtent l="2540" t="0" r="635" b="381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AF" w:rsidRDefault="00473BAF" w:rsidP="00473BAF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СОГЛАСОВАНО: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EE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.5pt;margin-top:-30.45pt;width:95.75pt;height:12pt;z-index:-251657216;visibility:visible;mso-wrap-style:square;mso-width-percent:0;mso-height-percent:0;mso-wrap-distance-left:5pt;mso-wrap-distance-top:0;mso-wrap-distance-right:9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0MxQIAAK8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" filled="f" stroked="f">
                <v:textbox style="mso-fit-shape-to-text:t" inset="0,0,0,0">
                  <w:txbxContent>
                    <w:p w:rsidR="00473BAF" w:rsidRDefault="00473BAF" w:rsidP="00473BAF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СОГЛАСОВАНО: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27305" distB="0" distL="524510" distR="63500" simplePos="0" relativeHeight="251660288" behindDoc="1" locked="0" layoutInCell="1" allowOverlap="1" wp14:anchorId="25EC5794" wp14:editId="76E89244">
            <wp:simplePos x="0" y="0"/>
            <wp:positionH relativeFrom="margin">
              <wp:posOffset>2426335</wp:posOffset>
            </wp:positionH>
            <wp:positionV relativeFrom="paragraph">
              <wp:posOffset>-350520</wp:posOffset>
            </wp:positionV>
            <wp:extent cx="3108960" cy="1432560"/>
            <wp:effectExtent l="0" t="0" r="0" b="0"/>
            <wp:wrapSquare wrapText="lef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ru-RU" w:bidi="ru-RU"/>
        </w:rPr>
        <w:t>Председатель первичной</w:t>
      </w:r>
      <w:r>
        <w:rPr>
          <w:color w:val="000000"/>
          <w:sz w:val="24"/>
          <w:szCs w:val="24"/>
          <w:lang w:eastAsia="ru-RU" w:bidi="ru-RU"/>
        </w:rPr>
        <w:br/>
        <w:t>профсоюзной организации</w:t>
      </w:r>
    </w:p>
    <w:p w:rsidR="00473BAF" w:rsidRDefault="00473BAF" w:rsidP="00473BAF">
      <w:pPr>
        <w:pStyle w:val="30"/>
        <w:shd w:val="clear" w:color="auto" w:fill="auto"/>
        <w:spacing w:after="3254" w:line="264" w:lineRule="exact"/>
        <w:ind w:left="20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Н.А.</w:t>
      </w:r>
      <w:r>
        <w:rPr>
          <w:color w:val="000000"/>
          <w:sz w:val="24"/>
          <w:szCs w:val="24"/>
          <w:lang w:eastAsia="ru-RU" w:bidi="ru-RU"/>
        </w:rPr>
        <w:t>Беликова</w:t>
      </w:r>
      <w:proofErr w:type="spellEnd"/>
      <w:r>
        <w:rPr>
          <w:color w:val="000000"/>
          <w:sz w:val="24"/>
          <w:szCs w:val="24"/>
          <w:lang w:eastAsia="ru-RU" w:bidi="ru-RU"/>
        </w:rPr>
        <w:br/>
      </w:r>
      <w:r>
        <w:t>июня 2018 г.</w:t>
      </w:r>
    </w:p>
    <w:p w:rsidR="00473BAF" w:rsidRDefault="00473BAF" w:rsidP="00473BAF">
      <w:pPr>
        <w:pStyle w:val="2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ПОЛОЖЕНИЕ О ПОРЯДКЕ ПРИВЛЕЧЕНИЯ,</w:t>
      </w:r>
      <w:r>
        <w:rPr>
          <w:color w:val="000000"/>
          <w:lang w:eastAsia="ru-RU" w:bidi="ru-RU"/>
        </w:rPr>
        <w:br/>
        <w:t>РАСХОДОВАНИЯ И УЧЁТА ДОБРОВОЛЬНЫХ ПОЖЕРТВОВАНИЙ</w:t>
      </w:r>
      <w:r>
        <w:rPr>
          <w:color w:val="000000"/>
          <w:lang w:eastAsia="ru-RU" w:bidi="ru-RU"/>
        </w:rPr>
        <w:br/>
        <w:t>ФИЗИЧЕСКИХ И ЮРИДИЧЕСКИХ ЛИЦ</w:t>
      </w:r>
      <w:r>
        <w:rPr>
          <w:color w:val="000000"/>
          <w:lang w:eastAsia="ru-RU" w:bidi="ru-RU"/>
        </w:rPr>
        <w:br/>
        <w:t>(внебюджетных средств)</w:t>
      </w: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  <w:r>
        <w:rPr>
          <w:color w:val="000000"/>
          <w:lang w:eastAsia="ru-RU" w:bidi="ru-RU"/>
        </w:rPr>
        <w:t>муниципальным дошкольным образовательным учреждением детским</w:t>
      </w:r>
      <w:r>
        <w:rPr>
          <w:color w:val="000000"/>
          <w:lang w:eastAsia="ru-RU" w:bidi="ru-RU"/>
        </w:rPr>
        <w:br/>
        <w:t>садом № 15 «Аленушка» Ярославского муниципального района</w:t>
      </w:r>
      <w:r>
        <w:rPr>
          <w:color w:val="000000"/>
          <w:lang w:eastAsia="ru-RU" w:bidi="ru-RU"/>
        </w:rPr>
        <w:br/>
      </w: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473BAF" w:rsidRDefault="00473BAF" w:rsidP="00473BAF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rPr>
          <w:rStyle w:val="4"/>
          <w:b w:val="0"/>
          <w:bCs w:val="0"/>
        </w:rPr>
        <w:t>2018 г.</w:t>
      </w:r>
      <w:r>
        <w:br w:type="page"/>
      </w:r>
    </w:p>
    <w:p w:rsidR="00473BAF" w:rsidRPr="00473BAF" w:rsidRDefault="00473BAF" w:rsidP="00473BA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473BAF" w:rsidRPr="00473BAF" w:rsidRDefault="00473BAF" w:rsidP="0047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привлечения и учета добровольных пожертвований </w:t>
      </w:r>
    </w:p>
    <w:p w:rsidR="00473BAF" w:rsidRPr="00473BAF" w:rsidRDefault="00473BAF" w:rsidP="0047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физических и (или) юридических лиц </w:t>
      </w:r>
    </w:p>
    <w:p w:rsidR="00473BAF" w:rsidRPr="00473BAF" w:rsidRDefault="00473BAF" w:rsidP="004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AF" w:rsidRPr="00473BAF" w:rsidRDefault="00473BAF" w:rsidP="0047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федеральными законами Российской Федерации: от 29.12.2012 г № 273-ФЗ «Об образовании в Российской Федерации» и от 11.08.1995 г. № 135-ФЗ «О благотворительной деятельности и благотворительных организациях».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муниципального дошкольного образовательного бюджетного учреждения МДОУ детского сада №15 «Аленушка» (далее ДОУ) </w:t>
      </w:r>
    </w:p>
    <w:p w:rsidR="00473BAF" w:rsidRPr="00473BAF" w:rsidRDefault="00473BAF" w:rsidP="00473BAF">
      <w:pPr>
        <w:spacing w:line="25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hAnsi="Times New Roman" w:cs="Times New Roman"/>
          <w:sz w:val="24"/>
          <w:szCs w:val="24"/>
        </w:rPr>
        <w:t>1.1. Добровольными пожертвованиями физических и (или) юридических лиц ДОУ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</w:t>
      </w: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бескорыстному выполнению работ, предоставлению услуг, оказанию иной поддержки.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Добровольные пожертвования физических и (или) юридических лиц привлекаются ДОУ в целях восполнения недостающих учреждению бюджетных средств для развития материально-технической базы учреждения и улучшения условий пребывания воспитанников в ДОУ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Добровольные пожертвования могут привлекаться ДОУ как от родителей воспитанников, так и от других физических и юридических лиц, изъявивших желание осуществить благотворительные пожертвования.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AF" w:rsidRPr="00473BAF" w:rsidRDefault="00473BAF" w:rsidP="00473B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привлечения добровольных пожертвований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Представители интересов ДОУ в лице председателя Родительского комитета (члены Родительского комитета) вправе обратиться за оказанием помощи детскому саду как в устной (на общем родительском собрании, в частной беседе), так и в письменной (в виде объявления, письма) форме.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Пожертвования физических или юридических лиц могут привлекаться   детским садом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обращении за оказанием помощи детский сад должен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Благотворительная помощь может выражаться в добровольном безвозмездном личном труде родителей по ремонту помещений детского сада, оказании помощи в проведении мероприятий и т.д.</w:t>
      </w:r>
    </w:p>
    <w:p w:rsidR="00473BAF" w:rsidRPr="00473BAF" w:rsidRDefault="00473BAF" w:rsidP="00473BAF">
      <w:pPr>
        <w:spacing w:line="256" w:lineRule="auto"/>
        <w:ind w:firstLine="720"/>
        <w:jc w:val="center"/>
        <w:rPr>
          <w:rFonts w:ascii="Times New Roman" w:hAnsi="Times New Roman" w:cs="Times New Roman"/>
          <w:b/>
          <w:color w:val="3366CC"/>
          <w:sz w:val="24"/>
          <w:szCs w:val="24"/>
        </w:rPr>
      </w:pPr>
      <w:r w:rsidRPr="00473BAF">
        <w:rPr>
          <w:rFonts w:ascii="Times New Roman" w:hAnsi="Times New Roman" w:cs="Times New Roman"/>
          <w:b/>
          <w:sz w:val="24"/>
          <w:szCs w:val="24"/>
        </w:rPr>
        <w:t>3. Порядок расходования добровольных пожертвований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sz w:val="24"/>
          <w:szCs w:val="24"/>
        </w:rPr>
        <w:t>3.1. Расходование привлеченных средств   детским садом должно производиться строго в соответствии с целевым назначением.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sz w:val="24"/>
          <w:szCs w:val="24"/>
        </w:rPr>
        <w:t>3.2. Использование привлеченных средств должно осуществляться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воспитанников в ДОУ.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sz w:val="24"/>
          <w:szCs w:val="24"/>
        </w:rPr>
        <w:lastRenderedPageBreak/>
        <w:t>3.3. Не допускается направление добровольных пожертвований на увеличение фонда заработной платы работников детского сада, оказание им материальной помощи.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BAF" w:rsidRPr="00473BAF" w:rsidRDefault="00473BAF" w:rsidP="00473BAF">
      <w:pPr>
        <w:spacing w:line="25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F">
        <w:rPr>
          <w:rFonts w:ascii="Times New Roman" w:hAnsi="Times New Roman" w:cs="Times New Roman"/>
          <w:b/>
          <w:sz w:val="24"/>
          <w:szCs w:val="24"/>
        </w:rPr>
        <w:t>4. Порядок приема добровольных пожертвований и учета</w:t>
      </w:r>
    </w:p>
    <w:p w:rsidR="00473BAF" w:rsidRPr="00473BAF" w:rsidRDefault="00473BAF" w:rsidP="00473BAF">
      <w:pPr>
        <w:spacing w:line="25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F">
        <w:rPr>
          <w:rFonts w:ascii="Times New Roman" w:hAnsi="Times New Roman" w:cs="Times New Roman"/>
          <w:b/>
          <w:sz w:val="24"/>
          <w:szCs w:val="24"/>
        </w:rPr>
        <w:t xml:space="preserve"> их использования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sz w:val="24"/>
          <w:szCs w:val="24"/>
        </w:rPr>
        <w:t>4.1. Добровольные пожертвования могут быть переданы детскому саду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sz w:val="24"/>
          <w:szCs w:val="24"/>
        </w:rPr>
        <w:t>4.2. Добровольные пожертвования предприятий, организаций и учреждений, физических лиц, денежная помощь родителей вносятся на текущий счет ДОУ.</w:t>
      </w:r>
    </w:p>
    <w:p w:rsidR="00473BAF" w:rsidRPr="00473BAF" w:rsidRDefault="00473BAF" w:rsidP="00473BAF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hAnsi="Times New Roman" w:cs="Times New Roman"/>
          <w:sz w:val="24"/>
          <w:szCs w:val="24"/>
        </w:rPr>
        <w:t xml:space="preserve">4.3. Родительский комитет и его члены в соответствии с их компетенцией могут осуществлять контроль за переданными ДОУ средствами. Администрация ДОУ и председатель Родительского </w:t>
      </w: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обязаны представить отчет об использовании добровольных пожертвований.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привлечении добровольных взносов родителей на ремонт 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и другие расходы, связанные с деятельностью детского сада, администрация обязана представлять письменные отчеты об использовании средств, выполнении работ родительскому комитету для рассмотрения на общих родительских собраниях и т.д.</w:t>
      </w:r>
    </w:p>
    <w:p w:rsidR="00473BAF" w:rsidRPr="00473BAF" w:rsidRDefault="00473BAF" w:rsidP="004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AF" w:rsidRPr="00473BAF" w:rsidRDefault="00473BAF" w:rsidP="00473B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 допускается использование добровольных пожертвований ДОУ на цели, не соответствующие уставной деятельности и не в соответствии с пожеланием лица, совершившего пожертвования.</w:t>
      </w:r>
    </w:p>
    <w:p w:rsidR="00473BAF" w:rsidRPr="00473BAF" w:rsidRDefault="00473BAF" w:rsidP="00473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использование добровольных пожертвований несет заведующий ДОУ.</w:t>
      </w:r>
    </w:p>
    <w:p w:rsidR="00473BAF" w:rsidRPr="00473BAF" w:rsidRDefault="00473BAF" w:rsidP="00473BAF">
      <w:pPr>
        <w:spacing w:line="256" w:lineRule="auto"/>
      </w:pPr>
    </w:p>
    <w:p w:rsidR="00200C89" w:rsidRDefault="00200C89"/>
    <w:sectPr w:rsidR="0020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D"/>
    <w:rsid w:val="00200C89"/>
    <w:rsid w:val="00473BAF"/>
    <w:rsid w:val="00A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6276"/>
  <w15:chartTrackingRefBased/>
  <w15:docId w15:val="{6C46801F-D045-4089-958E-66A0092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73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73B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95pt">
    <w:name w:val="Основной текст (3) + 9;5 pt;Курсив"/>
    <w:basedOn w:val="3"/>
    <w:rsid w:val="00473B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Calibri11pt0pt">
    <w:name w:val="Основной текст (3) + Calibri;11 pt;Полужирный;Интервал 0 pt"/>
    <w:basedOn w:val="3"/>
    <w:rsid w:val="00473BAF"/>
    <w:rPr>
      <w:rFonts w:ascii="Calibri" w:eastAsia="Calibri" w:hAnsi="Calibri" w:cs="Calibri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3B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473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473BA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73BAF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2018-10-15T08:19:00Z</dcterms:created>
  <dcterms:modified xsi:type="dcterms:W3CDTF">2018-10-15T08:23:00Z</dcterms:modified>
</cp:coreProperties>
</file>