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80" w:rsidRDefault="008C4980" w:rsidP="008C4980">
      <w:pPr>
        <w:jc w:val="right"/>
        <w:rPr>
          <w:rFonts w:ascii="Times New Roman" w:hAnsi="Times New Roman" w:cs="Times New Roman"/>
          <w:color w:val="4472C4" w:themeColor="accent5"/>
          <w:sz w:val="32"/>
        </w:rPr>
      </w:pPr>
      <w:r>
        <w:rPr>
          <w:rFonts w:ascii="Times New Roman" w:hAnsi="Times New Roman" w:cs="Times New Roman"/>
          <w:noProof/>
          <w:color w:val="4472C4" w:themeColor="accent5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6E2FCE13" wp14:editId="3B01A43E">
            <wp:simplePos x="0" y="0"/>
            <wp:positionH relativeFrom="page">
              <wp:posOffset>-161290</wp:posOffset>
            </wp:positionH>
            <wp:positionV relativeFrom="paragraph">
              <wp:posOffset>-701040</wp:posOffset>
            </wp:positionV>
            <wp:extent cx="4629150" cy="3876913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3618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87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80" w:rsidRDefault="008C4980" w:rsidP="008C4980">
      <w:pPr>
        <w:jc w:val="right"/>
        <w:rPr>
          <w:rFonts w:ascii="Times New Roman" w:hAnsi="Times New Roman" w:cs="Times New Roman"/>
          <w:color w:val="4472C4" w:themeColor="accent5"/>
          <w:sz w:val="32"/>
        </w:rPr>
      </w:pPr>
    </w:p>
    <w:p w:rsidR="008C4980" w:rsidRDefault="008C4980" w:rsidP="008C4980">
      <w:pPr>
        <w:jc w:val="right"/>
        <w:rPr>
          <w:rFonts w:ascii="Times New Roman" w:hAnsi="Times New Roman" w:cs="Times New Roman"/>
          <w:color w:val="4472C4" w:themeColor="accent5"/>
          <w:sz w:val="32"/>
        </w:rPr>
      </w:pPr>
    </w:p>
    <w:p w:rsidR="008C4980" w:rsidRDefault="008C4980" w:rsidP="008C4980">
      <w:pPr>
        <w:jc w:val="right"/>
        <w:rPr>
          <w:rFonts w:ascii="Times New Roman" w:hAnsi="Times New Roman" w:cs="Times New Roman"/>
          <w:color w:val="4472C4" w:themeColor="accent5"/>
          <w:sz w:val="32"/>
        </w:rPr>
      </w:pPr>
    </w:p>
    <w:p w:rsidR="008C4980" w:rsidRDefault="008C4980" w:rsidP="008C4980">
      <w:pPr>
        <w:jc w:val="right"/>
        <w:rPr>
          <w:rFonts w:ascii="Times New Roman" w:hAnsi="Times New Roman" w:cs="Times New Roman"/>
          <w:color w:val="4472C4" w:themeColor="accent5"/>
          <w:sz w:val="32"/>
        </w:rPr>
      </w:pPr>
    </w:p>
    <w:p w:rsidR="008C4980" w:rsidRDefault="008C4980" w:rsidP="008C4980">
      <w:pPr>
        <w:jc w:val="center"/>
        <w:rPr>
          <w:rFonts w:ascii="Times New Roman" w:hAnsi="Times New Roman" w:cs="Times New Roman"/>
          <w:color w:val="4472C4" w:themeColor="accent5"/>
          <w:sz w:val="36"/>
        </w:rPr>
      </w:pPr>
      <w:r>
        <w:rPr>
          <w:rFonts w:ascii="Times New Roman" w:hAnsi="Times New Roman" w:cs="Times New Roman"/>
          <w:color w:val="4472C4" w:themeColor="accent5"/>
          <w:sz w:val="32"/>
        </w:rPr>
        <w:t xml:space="preserve">                                 </w:t>
      </w:r>
      <w:r w:rsidRPr="002E1869">
        <w:rPr>
          <w:rFonts w:ascii="Times New Roman" w:hAnsi="Times New Roman" w:cs="Times New Roman"/>
          <w:color w:val="4472C4" w:themeColor="accent5"/>
          <w:sz w:val="36"/>
        </w:rPr>
        <w:t xml:space="preserve">«Дети любят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36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36"/>
        </w:rPr>
        <w:t xml:space="preserve"> и прибаутки!»</w:t>
      </w:r>
    </w:p>
    <w:p w:rsidR="008C4980" w:rsidRDefault="008C4980" w:rsidP="008C4980">
      <w:pPr>
        <w:jc w:val="center"/>
        <w:rPr>
          <w:rFonts w:ascii="Times New Roman" w:hAnsi="Times New Roman" w:cs="Times New Roman"/>
          <w:color w:val="4472C4" w:themeColor="accent5"/>
          <w:sz w:val="36"/>
        </w:rPr>
      </w:pPr>
    </w:p>
    <w:p w:rsidR="008C4980" w:rsidRDefault="008C4980" w:rsidP="008C4980">
      <w:pPr>
        <w:jc w:val="center"/>
        <w:rPr>
          <w:rFonts w:ascii="Times New Roman" w:hAnsi="Times New Roman" w:cs="Times New Roman"/>
          <w:color w:val="4472C4" w:themeColor="accent5"/>
          <w:sz w:val="36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06A362" wp14:editId="1EB6BDAC">
            <wp:simplePos x="0" y="0"/>
            <wp:positionH relativeFrom="column">
              <wp:posOffset>4726940</wp:posOffset>
            </wp:positionH>
            <wp:positionV relativeFrom="paragraph">
              <wp:posOffset>240030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</w:rPr>
        <w:t>Ф</w:t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прибаутки, сказки, народные песни, колыбельные, считалки, пословицы, поговорки, частушки, загадки. 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Значимость малых фольклорных форм невозможно переоценить – регулярное использование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потешек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 </w:t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прибауток в повседневной жизни ребёнка. И не только радует малыша, создаёт эмоциональную связь взрослого с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 </w:t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ребёнком, но и развивает его, в доступной форме прививая основы поведения самостоятельной жизни.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3972581" wp14:editId="3886C4A5">
            <wp:simplePos x="0" y="0"/>
            <wp:positionH relativeFrom="column">
              <wp:posOffset>-264160</wp:posOffset>
            </wp:positionH>
            <wp:positionV relativeFrom="paragraph">
              <wp:posOffset>34925</wp:posOffset>
            </wp:positionV>
            <wp:extent cx="2219325" cy="3039745"/>
            <wp:effectExtent l="0" t="0" r="9525" b="8255"/>
            <wp:wrapTight wrapText="bothSides">
              <wp:wrapPolygon edited="0">
                <wp:start x="0" y="0"/>
                <wp:lineTo x="0" y="21523"/>
                <wp:lineTo x="21507" y="21523"/>
                <wp:lineTo x="215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Дети любят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! И это не просто слова. 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 </w:t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</w:t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t>улавливать повышение и понижение голоса, обогащает словарный запас.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532AE4F" wp14:editId="2455C14D">
            <wp:simplePos x="0" y="0"/>
            <wp:positionH relativeFrom="column">
              <wp:posOffset>2240915</wp:posOffset>
            </wp:positionH>
            <wp:positionV relativeFrom="paragraph">
              <wp:posOffset>319405</wp:posOffset>
            </wp:positionV>
            <wp:extent cx="2143125" cy="21431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Ценность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потешек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</w:t>
      </w: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Большое значение имеют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и научиться эмоционально выражать свои эмоции: грусть, радость, нежность, тревога. Одна из движущих сил развития ребёнка – сила примера.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стимулируют детей подражать, закладывают основы правильного поведения. Для более эффективного восприятия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потешек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детьми, следует их читать ласковым, выразительным голосом, сопровождая слова соответствующими движениями и мимикой. Важно помнить, что использование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потешек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будет результативным только при готовности ребёнка воспринимать их, при отсутствии признаков утомления.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300990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Маленькие дети не умеют ещё рассказывать о своих чувствах, не могут сказать, что им не нравится,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вследствии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и игровые ситуации: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«Стуки-стуки, глянь в ворота –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Верно в гости едет </w:t>
      </w:r>
      <w:proofErr w:type="gram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кто то</w:t>
      </w:r>
      <w:proofErr w:type="gram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Едет целая семья: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Впереди идёт свинья,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194310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388" y="21301"/>
                <wp:lineTo x="213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А за нею утка мчится!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Сзади волк идёт с волчицей!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Кот и пёсик удивились – 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Даже помирились!» 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8C4980" w:rsidRDefault="008C4980" w:rsidP="008C4980">
      <w:pPr>
        <w:spacing w:line="276" w:lineRule="auto"/>
        <w:ind w:firstLine="709"/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C4980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(Данную </w:t>
      </w:r>
      <w:proofErr w:type="spellStart"/>
      <w:r w:rsidRPr="008C4980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потешку</w:t>
      </w:r>
      <w:proofErr w:type="spellEnd"/>
      <w:r w:rsidRPr="008C4980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следует сопровождать действиями: постукиваниями, движениями рук, и эмоциональной речью).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969645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«Умница, Катенька!</w:t>
      </w:r>
    </w:p>
    <w:p w:rsidR="008C4980" w:rsidRPr="002E1869" w:rsidRDefault="008C4980" w:rsidP="008C4980">
      <w:pPr>
        <w:spacing w:line="276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Ешь кашку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сладеньку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!</w:t>
      </w:r>
    </w:p>
    <w:p w:rsidR="008C4980" w:rsidRPr="002E1869" w:rsidRDefault="008C4980" w:rsidP="008C4980">
      <w:pPr>
        <w:spacing w:line="276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Вкусную, пушистую,</w:t>
      </w:r>
    </w:p>
    <w:p w:rsidR="008C4980" w:rsidRPr="002E1869" w:rsidRDefault="008C4980" w:rsidP="008C4980">
      <w:pPr>
        <w:spacing w:line="276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Мягкую, душистую!»</w:t>
      </w:r>
    </w:p>
    <w:p w:rsidR="008C4980" w:rsidRDefault="008C4980" w:rsidP="008C4980">
      <w:pPr>
        <w:spacing w:line="276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приходят на помощь и в режимных моментах, когда нужно умыться, вымыть руки, причесаться: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«Ай, лады-лады-лады!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Не боимся мы воды!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Чисто умываемся,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Друг другу улыбаемся!»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-1280160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«Моем, моем, руки чисто,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Чтоб не стать трубочистом!»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0</wp:posOffset>
            </wp:positionV>
            <wp:extent cx="21907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12" y="21490"/>
                <wp:lineTo x="214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«Бай, бай, бай, бай…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Ты, собаченька, не лай…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И в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гудочек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не гуди,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Наших деток не буди…»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Очень важно, чтобы дети просыпались в хорошем настроении: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Потягуни-потягушечки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От носочков до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макушечки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Мы потянемся-потянемся,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Маленькими не останемся!»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Существенную роль играют </w:t>
      </w:r>
      <w:proofErr w:type="spellStart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потешки</w:t>
      </w:r>
      <w:proofErr w:type="spellEnd"/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 помощи при одевании детей на прогулку: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«Оля варежку надела,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Ой, куда я пальчик дела?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Нету пальчика, пропал,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В свой домишко не попал.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Оля варежку сняла –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Поглядите-ка, нашла!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Ищешь, ищешь, и найдёшь!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Здравствуй, пальчик! Как живёшь?»</w:t>
      </w: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8C4980" w:rsidRPr="002E1869" w:rsidRDefault="008C4980" w:rsidP="008C4980">
      <w:pPr>
        <w:spacing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C212F7" w:rsidRPr="008C4980" w:rsidRDefault="008C4980" w:rsidP="008C4980">
      <w:pPr>
        <w:spacing w:line="276" w:lineRule="auto"/>
        <w:ind w:firstLine="709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E1869">
        <w:rPr>
          <w:rFonts w:ascii="Times New Roman" w:hAnsi="Times New Roman" w:cs="Times New Roman"/>
          <w:color w:val="4472C4" w:themeColor="accent5"/>
          <w:sz w:val="28"/>
          <w:szCs w:val="28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  <w:bookmarkStart w:id="0" w:name="_GoBack"/>
      <w:bookmarkEnd w:id="0"/>
    </w:p>
    <w:sectPr w:rsidR="00C212F7" w:rsidRPr="008C4980" w:rsidSect="002E18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80"/>
    <w:rsid w:val="00165D3F"/>
    <w:rsid w:val="008C4980"/>
    <w:rsid w:val="00C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EA0"/>
  <w15:chartTrackingRefBased/>
  <w15:docId w15:val="{1DB62035-5D32-438B-A8EB-62E780A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2019-10-28T08:48:00Z</dcterms:created>
  <dcterms:modified xsi:type="dcterms:W3CDTF">2019-10-28T08:58:00Z</dcterms:modified>
</cp:coreProperties>
</file>